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A6B23" w14:textId="39B0CAAB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Όνομα: </w:t>
      </w:r>
      <w:r w:rsidRPr="00B96A63">
        <w:rPr>
          <w:rFonts w:ascii="Calibri" w:hAnsi="Calibri" w:cs="Calibri"/>
          <w:b/>
          <w:bCs/>
        </w:rPr>
        <w:t>BBD ΝΙΚ. ΛΑΪΝΙΩΤΗΣ ΑΕΒΕ</w:t>
      </w:r>
      <w:r w:rsidRPr="00B96A63">
        <w:rPr>
          <w:rFonts w:ascii="Calibri" w:hAnsi="Calibri" w:cs="Calibri"/>
        </w:rPr>
        <w:t xml:space="preserve"> Email:</w:t>
      </w:r>
      <w:r w:rsidR="00B96A63" w:rsidRPr="00B96A63">
        <w:rPr>
          <w:rFonts w:ascii="Calibri" w:hAnsi="Calibri" w:cs="Calibri"/>
        </w:rPr>
        <w:t xml:space="preserve"> </w:t>
      </w:r>
      <w:hyperlink r:id="rId4" w:history="1">
        <w:r w:rsidR="00B96A63" w:rsidRPr="00721181">
          <w:rPr>
            <w:rStyle w:val="-"/>
            <w:rFonts w:ascii="Calibri" w:hAnsi="Calibri" w:cs="Calibri"/>
          </w:rPr>
          <w:t>m.markatou@bbdmedical.com</w:t>
        </w:r>
      </w:hyperlink>
      <w:r w:rsidR="00B96A63" w:rsidRPr="00B96A63">
        <w:rPr>
          <w:rFonts w:ascii="Calibri" w:hAnsi="Calibri" w:cs="Calibri"/>
        </w:rPr>
        <w:t xml:space="preserve">  </w:t>
      </w:r>
      <w:r w:rsidRPr="00B96A63">
        <w:rPr>
          <w:rFonts w:ascii="Calibri" w:hAnsi="Calibri" w:cs="Calibri"/>
        </w:rPr>
        <w:t>Δημοσιεύθηκε: 25-04-2024</w:t>
      </w:r>
    </w:p>
    <w:p w14:paraId="7742A876" w14:textId="7A8320E2" w:rsidR="00CB213C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>Άρθρο: ΣΧΟΛΙΑ BBD ΕΠΙ ΤΗΣ 1ΗΣ ΔΙΑΒΟΥΛΕΥΣΗΣ ΤΕΧΝΙΚΩΝ ΠΡΟΔΙΑΓΡΑΦΩΝ ΓΙΑ ΤΗΝ ΠΡΟΜΗΘΕΙΑ ΙΑΤΡΙΚΗΣ ΓΑΖΑΣ</w:t>
      </w:r>
    </w:p>
    <w:p w14:paraId="4D1DA54F" w14:textId="77777777" w:rsidR="00E9349F" w:rsidRPr="00B96A63" w:rsidRDefault="00E9349F" w:rsidP="00E9349F">
      <w:pPr>
        <w:rPr>
          <w:rFonts w:ascii="Calibri" w:hAnsi="Calibri" w:cs="Calibri"/>
        </w:rPr>
      </w:pPr>
    </w:p>
    <w:p w14:paraId="20490EC0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>Στο είδος με Α/Α: 2 – ΓΑΖΑ ΑΠΛΗ ΣΕ ΜΕΤΡΑ 90CM X 100M ζητείται μεταξύ άλλων να είναι συσκευασμένες σε πακέτα με μορφή αναδίπλωσης (</w:t>
      </w:r>
      <w:proofErr w:type="spellStart"/>
      <w:r w:rsidRPr="00B96A63">
        <w:rPr>
          <w:rFonts w:ascii="Calibri" w:hAnsi="Calibri" w:cs="Calibri"/>
        </w:rPr>
        <w:t>zig</w:t>
      </w:r>
      <w:proofErr w:type="spellEnd"/>
      <w:r w:rsidRPr="00B96A63">
        <w:rPr>
          <w:rFonts w:ascii="Calibri" w:hAnsi="Calibri" w:cs="Calibri"/>
        </w:rPr>
        <w:t xml:space="preserve"> </w:t>
      </w:r>
      <w:proofErr w:type="spellStart"/>
      <w:r w:rsidRPr="00B96A63">
        <w:rPr>
          <w:rFonts w:ascii="Calibri" w:hAnsi="Calibri" w:cs="Calibri"/>
        </w:rPr>
        <w:t>zag</w:t>
      </w:r>
      <w:proofErr w:type="spellEnd"/>
      <w:r w:rsidRPr="00B96A63">
        <w:rPr>
          <w:rFonts w:ascii="Calibri" w:hAnsi="Calibri" w:cs="Calibri"/>
        </w:rPr>
        <w:t xml:space="preserve">) του ενός μέτρου ή σε φύλλα με τη μία διάσταση 90εκ. σε απαραβίαστη συσκευασία ανά πακέτο. </w:t>
      </w:r>
    </w:p>
    <w:p w14:paraId="5FCDC7B3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>Σας επισημαίνουμε ότι η συσκευασία σε φύλλα παραπέμπει σε άλλο είδος και συγκεκριμένα σε γάζα κομμένη, η οποία κοστολογείται ανά φύλλο και όχι ανά μέτρο. Συνεπώς πρέπει να αφαιρεθεί, καθώς δεν είναι ορθό.</w:t>
      </w:r>
    </w:p>
    <w:p w14:paraId="76CC1269" w14:textId="3D511206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Εξάλλου η ΕΚΑΠΥ για το συγκεκριμένο είδος έχει ορίσει ως απαιτούμενη τεχνική προδιαγραφή να διατίθεται σε πακέτα των 100 ΣΥΝΕΧΩΝ ΜΕΤΡΩΝ (δείτε παρακάτω αναλυτικά): «ΓΑΖΑ ΥΔΡΟΦΙΛΗ μη ΑΚΤΙΝΟΣΚΙΕΡΗ (άκοπη) 18κλ / cm2 </w:t>
      </w:r>
      <w:proofErr w:type="spellStart"/>
      <w:r w:rsidRPr="00B96A63">
        <w:rPr>
          <w:rFonts w:ascii="Calibri" w:hAnsi="Calibri" w:cs="Calibri"/>
        </w:rPr>
        <w:t>ακτινοσκιερή</w:t>
      </w:r>
      <w:proofErr w:type="spellEnd"/>
      <w:r w:rsidRPr="00B96A63">
        <w:rPr>
          <w:rFonts w:ascii="Calibri" w:hAnsi="Calibri" w:cs="Calibri"/>
        </w:rPr>
        <w:t xml:space="preserve">, αρίστης ποιότητας, σύμφωνα με τις τεχνικές προδιαγραφές του </w:t>
      </w:r>
      <w:proofErr w:type="spellStart"/>
      <w:r w:rsidRPr="00B96A63">
        <w:rPr>
          <w:rFonts w:ascii="Calibri" w:hAnsi="Calibri" w:cs="Calibri"/>
        </w:rPr>
        <w:t>Υπ.Αν</w:t>
      </w:r>
      <w:proofErr w:type="spellEnd"/>
      <w:r w:rsidRPr="00B96A63">
        <w:rPr>
          <w:rFonts w:ascii="Calibri" w:hAnsi="Calibri" w:cs="Calibri"/>
        </w:rPr>
        <w:t>. πλάτος 90cm,  σε πακέτα των 100 συνεχών μέτρων και σε αναδιπλώσεις του ενός μέτρου. Σε πακέτα των 100 μέτρων περίπου. Η τιμή είναι ανά πακέτο των 100 μέτρων.»</w:t>
      </w:r>
    </w:p>
    <w:p w14:paraId="29E33F31" w14:textId="7B760A8F" w:rsidR="00E9349F" w:rsidRPr="00B96A63" w:rsidRDefault="00B96A63" w:rsidP="00E9349F">
      <w:pPr>
        <w:rPr>
          <w:rFonts w:ascii="Calibri" w:hAnsi="Calibri" w:cs="Calibri"/>
        </w:rPr>
      </w:pPr>
      <w:hyperlink r:id="rId5" w:history="1">
        <w:r w:rsidR="00E9349F" w:rsidRPr="00B96A63">
          <w:rPr>
            <w:rStyle w:val="-"/>
            <w:rFonts w:ascii="Calibri" w:hAnsi="Calibri" w:cs="Calibri"/>
          </w:rPr>
          <w:t>https://www.moh.gov.gr/articles/ethnikh-kentrikh-arxh-promhtheiwn-ygeias-ekapy/texnikes-prodiagrafes-kai-protypa/texnikes-prodiagrafes-ekapy/9180-iatrikh-gaza</w:t>
        </w:r>
      </w:hyperlink>
    </w:p>
    <w:p w14:paraId="634FF816" w14:textId="77777777" w:rsidR="00E9349F" w:rsidRPr="00B96A63" w:rsidRDefault="00E9349F" w:rsidP="00E934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678E9C84" w14:textId="4A8164C1" w:rsidR="00E9349F" w:rsidRPr="00B96A63" w:rsidRDefault="00E9349F" w:rsidP="00E9349F">
      <w:pPr>
        <w:rPr>
          <w:rFonts w:ascii="Calibri" w:hAnsi="Calibri" w:cs="Calibri"/>
          <w:lang w:val="en-US"/>
        </w:rPr>
      </w:pPr>
      <w:r w:rsidRPr="00B96A63">
        <w:rPr>
          <w:rFonts w:ascii="Calibri" w:hAnsi="Calibri" w:cs="Calibri"/>
        </w:rPr>
        <w:t>Όνομα</w:t>
      </w:r>
      <w:r w:rsidRPr="00B96A63">
        <w:rPr>
          <w:rFonts w:ascii="Calibri" w:hAnsi="Calibri" w:cs="Calibri"/>
          <w:lang w:val="en-US"/>
        </w:rPr>
        <w:t xml:space="preserve">: </w:t>
      </w:r>
      <w:r w:rsidRPr="00B96A63">
        <w:rPr>
          <w:rFonts w:ascii="Calibri" w:hAnsi="Calibri" w:cs="Calibri"/>
          <w:b/>
          <w:bCs/>
          <w:lang w:val="en-US"/>
        </w:rPr>
        <w:t>JOHNSON &amp; JOHNSON MEDTECH GREECE</w:t>
      </w:r>
      <w:r w:rsidRPr="00B96A63">
        <w:rPr>
          <w:rFonts w:ascii="Calibri" w:hAnsi="Calibri" w:cs="Calibri"/>
          <w:lang w:val="en-US"/>
        </w:rPr>
        <w:t xml:space="preserve"> Email: </w:t>
      </w:r>
      <w:hyperlink r:id="rId6" w:history="1">
        <w:r w:rsidR="00B96A63" w:rsidRPr="00721181">
          <w:rPr>
            <w:rStyle w:val="-"/>
            <w:rFonts w:ascii="Calibri" w:hAnsi="Calibri" w:cs="Calibri"/>
            <w:lang w:val="en-US"/>
          </w:rPr>
          <w:t>tendersgr@its.jnj.com</w:t>
        </w:r>
      </w:hyperlink>
      <w:r w:rsidR="00B96A63">
        <w:rPr>
          <w:rFonts w:ascii="Calibri" w:hAnsi="Calibri" w:cs="Calibri"/>
          <w:lang w:val="en-US"/>
        </w:rPr>
        <w:t xml:space="preserve">  </w:t>
      </w:r>
      <w:r w:rsidRPr="00B96A63">
        <w:rPr>
          <w:rFonts w:ascii="Calibri" w:hAnsi="Calibri" w:cs="Calibri"/>
        </w:rPr>
        <w:t>Δημοσιεύθηκε</w:t>
      </w:r>
      <w:r w:rsidRPr="00B96A63">
        <w:rPr>
          <w:rFonts w:ascii="Calibri" w:hAnsi="Calibri" w:cs="Calibri"/>
          <w:lang w:val="en-US"/>
        </w:rPr>
        <w:t>: 23-04-2024</w:t>
      </w:r>
    </w:p>
    <w:p w14:paraId="10B559FF" w14:textId="6BCBEBAA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>Άρθρο: ΠΡΟΤΑΣΕΙΣ ΕΠΙ ΤΗΣ ΔΗΜΟΣΙΑΣ ΔΙΑΒΟΥΛΕΥΣΗΣ ΤΕΧΝΙΚΩΝ ΠΡΟΔΙΑΓΡΑΦΩΝ ΙΑΤΡΙΚΗΣ ΓΑΖΑΣ</w:t>
      </w:r>
    </w:p>
    <w:p w14:paraId="329ED7F9" w14:textId="77777777" w:rsidR="00E9349F" w:rsidRPr="00B96A63" w:rsidRDefault="00E9349F" w:rsidP="00E9349F">
      <w:pPr>
        <w:rPr>
          <w:rFonts w:ascii="Calibri" w:hAnsi="Calibri" w:cs="Calibri"/>
        </w:rPr>
      </w:pPr>
    </w:p>
    <w:p w14:paraId="49C320C6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>Αξιότιμοι Κύριοι,</w:t>
      </w:r>
    </w:p>
    <w:p w14:paraId="2400734A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>Σε απάντηση της 1η Δημόσιας διαβούλευσης για σύνταξη τεχνικών προδιαγραφών για  την προμήθεια «ΙΑΤΡΙΚΗΣ ΓΑΖΑΣ» CPV: 33141114-2, για την κάλυψη των αναγκών του Νοσοκομείου, θα θέλαμε να υποβάλλουμε τις κάτωθι παρατηρήσεις:</w:t>
      </w:r>
    </w:p>
    <w:p w14:paraId="4053A7D6" w14:textId="77777777" w:rsidR="00E9349F" w:rsidRPr="00B96A63" w:rsidRDefault="00E9349F" w:rsidP="00E9349F">
      <w:pPr>
        <w:rPr>
          <w:rFonts w:ascii="Calibri" w:hAnsi="Calibri" w:cs="Calibri"/>
        </w:rPr>
      </w:pPr>
    </w:p>
    <w:p w14:paraId="338CBE0D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Στον Α/Α 1  «Γάζα αιμοστατική 5x35cm απορροφητική </w:t>
      </w:r>
      <w:proofErr w:type="spellStart"/>
      <w:r w:rsidRPr="00B96A63">
        <w:rPr>
          <w:rFonts w:ascii="Calibri" w:hAnsi="Calibri" w:cs="Calibri"/>
        </w:rPr>
        <w:t>βακτηριοστατική</w:t>
      </w:r>
      <w:proofErr w:type="spellEnd"/>
      <w:r w:rsidRPr="00B96A63">
        <w:rPr>
          <w:rFonts w:ascii="Calibri" w:hAnsi="Calibri" w:cs="Calibri"/>
        </w:rPr>
        <w:t xml:space="preserve">», θεωρούμε απαραίτητη την προσθήκη διαφορετικών τύπων γαζών και διαστάσεων, έτσι ώστε να καλύπτονται οι διαφορετικές ανάγκες αιμόστασης ανάλογα με την ανατομική περιοχή και την χειρουργική τεχνική. </w:t>
      </w:r>
    </w:p>
    <w:p w14:paraId="645AA14B" w14:textId="47020529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Προτείνουμε λοιπόν την τροποποίηση των προδιαγραφών του Α/Α .1 ως εξής:  </w:t>
      </w:r>
    </w:p>
    <w:p w14:paraId="5DA0EF3A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1Α. Αιμοστατική γάζα από 100% Οξειδωμένη Αναγεννημένη Κυτταρίνη σε συσκευασία αλουμινίου για προστασία από περιβαλλοντικούς παράγοντες (υγρασία, σκόνη και άλλους). </w:t>
      </w:r>
    </w:p>
    <w:p w14:paraId="02066183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Να έχει την ευρύτερη βακτηριοκτόνο δράση συμπεριλαμβανομένων των MRSA, PRSP, VRE, MRSE, E. </w:t>
      </w:r>
      <w:proofErr w:type="spellStart"/>
      <w:r w:rsidRPr="00B96A63">
        <w:rPr>
          <w:rFonts w:ascii="Calibri" w:hAnsi="Calibri" w:cs="Calibri"/>
        </w:rPr>
        <w:t>Coli</w:t>
      </w:r>
      <w:proofErr w:type="spellEnd"/>
      <w:r w:rsidRPr="00B96A63">
        <w:rPr>
          <w:rFonts w:ascii="Calibri" w:hAnsi="Calibri" w:cs="Calibri"/>
        </w:rPr>
        <w:t xml:space="preserve">, K. </w:t>
      </w:r>
      <w:proofErr w:type="spellStart"/>
      <w:r w:rsidRPr="00B96A63">
        <w:rPr>
          <w:rFonts w:ascii="Calibri" w:hAnsi="Calibri" w:cs="Calibri"/>
        </w:rPr>
        <w:t>Aeoregenes</w:t>
      </w:r>
      <w:proofErr w:type="spellEnd"/>
      <w:r w:rsidRPr="00B96A63">
        <w:rPr>
          <w:rFonts w:ascii="Calibri" w:hAnsi="Calibri" w:cs="Calibri"/>
        </w:rPr>
        <w:t xml:space="preserve">, S. </w:t>
      </w:r>
      <w:proofErr w:type="spellStart"/>
      <w:r w:rsidRPr="00B96A63">
        <w:rPr>
          <w:rFonts w:ascii="Calibri" w:hAnsi="Calibri" w:cs="Calibri"/>
        </w:rPr>
        <w:t>aureus</w:t>
      </w:r>
      <w:proofErr w:type="spellEnd"/>
      <w:r w:rsidRPr="00B96A63">
        <w:rPr>
          <w:rFonts w:ascii="Calibri" w:hAnsi="Calibri" w:cs="Calibri"/>
        </w:rPr>
        <w:t xml:space="preserve">, S. </w:t>
      </w:r>
      <w:proofErr w:type="spellStart"/>
      <w:r w:rsidRPr="00B96A63">
        <w:rPr>
          <w:rFonts w:ascii="Calibri" w:hAnsi="Calibri" w:cs="Calibri"/>
        </w:rPr>
        <w:t>Epidermidis</w:t>
      </w:r>
      <w:proofErr w:type="spellEnd"/>
      <w:r w:rsidRPr="00B96A63">
        <w:rPr>
          <w:rFonts w:ascii="Calibri" w:hAnsi="Calibri" w:cs="Calibri"/>
        </w:rPr>
        <w:t xml:space="preserve">, η οποία να </w:t>
      </w:r>
      <w:proofErr w:type="spellStart"/>
      <w:r w:rsidRPr="00B96A63">
        <w:rPr>
          <w:rFonts w:ascii="Calibri" w:hAnsi="Calibri" w:cs="Calibri"/>
        </w:rPr>
        <w:t>ποσοτικοποιείται</w:t>
      </w:r>
      <w:proofErr w:type="spellEnd"/>
      <w:r w:rsidRPr="00B96A63">
        <w:rPr>
          <w:rFonts w:ascii="Calibri" w:hAnsi="Calibri" w:cs="Calibri"/>
        </w:rPr>
        <w:t xml:space="preserve"> για τους σημαντικότερους. </w:t>
      </w:r>
    </w:p>
    <w:p w14:paraId="49D77F1C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Να </w:t>
      </w:r>
      <w:proofErr w:type="spellStart"/>
      <w:r w:rsidRPr="00B96A63">
        <w:rPr>
          <w:rFonts w:ascii="Calibri" w:hAnsi="Calibri" w:cs="Calibri"/>
        </w:rPr>
        <w:t>απορροφάται</w:t>
      </w:r>
      <w:proofErr w:type="spellEnd"/>
      <w:r w:rsidRPr="00B96A63">
        <w:rPr>
          <w:rFonts w:ascii="Calibri" w:hAnsi="Calibri" w:cs="Calibri"/>
        </w:rPr>
        <w:t xml:space="preserve"> εντός 1-2 εβδομάδων με μηδενική </w:t>
      </w:r>
      <w:proofErr w:type="spellStart"/>
      <w:r w:rsidRPr="00B96A63">
        <w:rPr>
          <w:rFonts w:ascii="Calibri" w:hAnsi="Calibri" w:cs="Calibri"/>
        </w:rPr>
        <w:t>ιστική</w:t>
      </w:r>
      <w:proofErr w:type="spellEnd"/>
      <w:r w:rsidRPr="00B96A63">
        <w:rPr>
          <w:rFonts w:ascii="Calibri" w:hAnsi="Calibri" w:cs="Calibri"/>
        </w:rPr>
        <w:t xml:space="preserve"> αντίδραση και ο χρόνος αιμοστάσεως να είναι κάτω των 8 λεπτών. </w:t>
      </w:r>
    </w:p>
    <w:p w14:paraId="6B342891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Όλα τα ανωτέρω να αποδεικνύονται σύμφωνα με το εγχειρίδιο χρήσεως, ή δημοσιευμένες μελέτες, ή άλλους τεχνικούς φακέλους και όχι </w:t>
      </w:r>
      <w:proofErr w:type="spellStart"/>
      <w:r w:rsidRPr="00B96A63">
        <w:rPr>
          <w:rFonts w:ascii="Calibri" w:hAnsi="Calibri" w:cs="Calibri"/>
        </w:rPr>
        <w:t>προϊοντικά</w:t>
      </w:r>
      <w:proofErr w:type="spellEnd"/>
      <w:r w:rsidRPr="00B96A63">
        <w:rPr>
          <w:rFonts w:ascii="Calibri" w:hAnsi="Calibri" w:cs="Calibri"/>
        </w:rPr>
        <w:t xml:space="preserve"> διαφημιστικά φυλλάδια.</w:t>
      </w:r>
    </w:p>
    <w:p w14:paraId="4B0539E3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Διαστάσεις: </w:t>
      </w:r>
    </w:p>
    <w:p w14:paraId="228A9302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α. 5 x 35 εκατοστά σε συσκευασία 10 </w:t>
      </w:r>
      <w:proofErr w:type="spellStart"/>
      <w:r w:rsidRPr="00B96A63">
        <w:rPr>
          <w:rFonts w:ascii="Calibri" w:hAnsi="Calibri" w:cs="Calibri"/>
        </w:rPr>
        <w:t>τμχ</w:t>
      </w:r>
      <w:proofErr w:type="spellEnd"/>
    </w:p>
    <w:p w14:paraId="39366987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lastRenderedPageBreak/>
        <w:t xml:space="preserve">β. 10 x 20 εκατοστά σε συσκευασία 10 </w:t>
      </w:r>
      <w:proofErr w:type="spellStart"/>
      <w:r w:rsidRPr="00B96A63">
        <w:rPr>
          <w:rFonts w:ascii="Calibri" w:hAnsi="Calibri" w:cs="Calibri"/>
        </w:rPr>
        <w:t>τμχ</w:t>
      </w:r>
      <w:proofErr w:type="spellEnd"/>
      <w:r w:rsidRPr="00B96A63">
        <w:rPr>
          <w:rFonts w:ascii="Calibri" w:hAnsi="Calibri" w:cs="Calibri"/>
        </w:rPr>
        <w:t xml:space="preserve"> </w:t>
      </w:r>
    </w:p>
    <w:p w14:paraId="777B238D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γ. 5 x 7,5 εκατοστά σε συσκευασία 10 </w:t>
      </w:r>
      <w:proofErr w:type="spellStart"/>
      <w:r w:rsidRPr="00B96A63">
        <w:rPr>
          <w:rFonts w:ascii="Calibri" w:hAnsi="Calibri" w:cs="Calibri"/>
        </w:rPr>
        <w:t>τμχ</w:t>
      </w:r>
      <w:proofErr w:type="spellEnd"/>
    </w:p>
    <w:p w14:paraId="4A0FCB50" w14:textId="77777777" w:rsidR="00E9349F" w:rsidRPr="00B96A63" w:rsidRDefault="00E9349F" w:rsidP="00E9349F">
      <w:pPr>
        <w:rPr>
          <w:rFonts w:ascii="Calibri" w:hAnsi="Calibri" w:cs="Calibri"/>
        </w:rPr>
      </w:pPr>
    </w:p>
    <w:p w14:paraId="5AF795E6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>1Β. Μη υφαντή αιμοστατική γάζα από 100% Οξειδωμένη Αναγεννημένη Κυτταρίνη, από μη υφασμένες μεταξύ τους ίνες σε συσκευασία αλουμινίου για προστασία από περιβαλλοντικούς παράγοντες (υγρασία, σκόνη και άλλους).</w:t>
      </w:r>
    </w:p>
    <w:p w14:paraId="673E9096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Να έχει την ευρύτερη βακτηριοκτόνο δράση συμπεριλαμβανομένων των MRSA, PRSP, VRE, MRSE, E. </w:t>
      </w:r>
      <w:proofErr w:type="spellStart"/>
      <w:r w:rsidRPr="00B96A63">
        <w:rPr>
          <w:rFonts w:ascii="Calibri" w:hAnsi="Calibri" w:cs="Calibri"/>
        </w:rPr>
        <w:t>Coli</w:t>
      </w:r>
      <w:proofErr w:type="spellEnd"/>
      <w:r w:rsidRPr="00B96A63">
        <w:rPr>
          <w:rFonts w:ascii="Calibri" w:hAnsi="Calibri" w:cs="Calibri"/>
        </w:rPr>
        <w:t xml:space="preserve">, K. </w:t>
      </w:r>
      <w:proofErr w:type="spellStart"/>
      <w:r w:rsidRPr="00B96A63">
        <w:rPr>
          <w:rFonts w:ascii="Calibri" w:hAnsi="Calibri" w:cs="Calibri"/>
        </w:rPr>
        <w:t>Aeoregenes</w:t>
      </w:r>
      <w:proofErr w:type="spellEnd"/>
      <w:r w:rsidRPr="00B96A63">
        <w:rPr>
          <w:rFonts w:ascii="Calibri" w:hAnsi="Calibri" w:cs="Calibri"/>
        </w:rPr>
        <w:t xml:space="preserve">, S. </w:t>
      </w:r>
      <w:proofErr w:type="spellStart"/>
      <w:r w:rsidRPr="00B96A63">
        <w:rPr>
          <w:rFonts w:ascii="Calibri" w:hAnsi="Calibri" w:cs="Calibri"/>
        </w:rPr>
        <w:t>aureus</w:t>
      </w:r>
      <w:proofErr w:type="spellEnd"/>
      <w:r w:rsidRPr="00B96A63">
        <w:rPr>
          <w:rFonts w:ascii="Calibri" w:hAnsi="Calibri" w:cs="Calibri"/>
        </w:rPr>
        <w:t xml:space="preserve">, S. </w:t>
      </w:r>
      <w:proofErr w:type="spellStart"/>
      <w:r w:rsidRPr="00B96A63">
        <w:rPr>
          <w:rFonts w:ascii="Calibri" w:hAnsi="Calibri" w:cs="Calibri"/>
        </w:rPr>
        <w:t>Epidermidis</w:t>
      </w:r>
      <w:proofErr w:type="spellEnd"/>
      <w:r w:rsidRPr="00B96A63">
        <w:rPr>
          <w:rFonts w:ascii="Calibri" w:hAnsi="Calibri" w:cs="Calibri"/>
        </w:rPr>
        <w:t xml:space="preserve">, η οποία να </w:t>
      </w:r>
      <w:proofErr w:type="spellStart"/>
      <w:r w:rsidRPr="00B96A63">
        <w:rPr>
          <w:rFonts w:ascii="Calibri" w:hAnsi="Calibri" w:cs="Calibri"/>
        </w:rPr>
        <w:t>ποσοτικοποιείται</w:t>
      </w:r>
      <w:proofErr w:type="spellEnd"/>
      <w:r w:rsidRPr="00B96A63">
        <w:rPr>
          <w:rFonts w:ascii="Calibri" w:hAnsi="Calibri" w:cs="Calibri"/>
        </w:rPr>
        <w:t xml:space="preserve"> για τους σημαντικότερους. </w:t>
      </w:r>
    </w:p>
    <w:p w14:paraId="663DCA3E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Να </w:t>
      </w:r>
      <w:proofErr w:type="spellStart"/>
      <w:r w:rsidRPr="00B96A63">
        <w:rPr>
          <w:rFonts w:ascii="Calibri" w:hAnsi="Calibri" w:cs="Calibri"/>
        </w:rPr>
        <w:t>απορροφάται</w:t>
      </w:r>
      <w:proofErr w:type="spellEnd"/>
      <w:r w:rsidRPr="00B96A63">
        <w:rPr>
          <w:rFonts w:ascii="Calibri" w:hAnsi="Calibri" w:cs="Calibri"/>
        </w:rPr>
        <w:t xml:space="preserve"> εντός 1-2 εβδομάδων με μηδενική </w:t>
      </w:r>
      <w:proofErr w:type="spellStart"/>
      <w:r w:rsidRPr="00B96A63">
        <w:rPr>
          <w:rFonts w:ascii="Calibri" w:hAnsi="Calibri" w:cs="Calibri"/>
        </w:rPr>
        <w:t>ιστική</w:t>
      </w:r>
      <w:proofErr w:type="spellEnd"/>
      <w:r w:rsidRPr="00B96A63">
        <w:rPr>
          <w:rFonts w:ascii="Calibri" w:hAnsi="Calibri" w:cs="Calibri"/>
        </w:rPr>
        <w:t xml:space="preserve"> αντίδραση και ο χρόνος αιμοστάσεως να είναι κάτω των 6 λεπτών.</w:t>
      </w:r>
    </w:p>
    <w:p w14:paraId="6B84A11C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Όλα τα ανωτέρω να αποδεικνύονται σύμφωνα με το εγχειρίδιο χρήσεως, ή δημοσιευμένες μελέτες, ή άλλους τεχνικούς φακέλους και όχι </w:t>
      </w:r>
      <w:proofErr w:type="spellStart"/>
      <w:r w:rsidRPr="00B96A63">
        <w:rPr>
          <w:rFonts w:ascii="Calibri" w:hAnsi="Calibri" w:cs="Calibri"/>
        </w:rPr>
        <w:t>προϊοντικά</w:t>
      </w:r>
      <w:proofErr w:type="spellEnd"/>
      <w:r w:rsidRPr="00B96A63">
        <w:rPr>
          <w:rFonts w:ascii="Calibri" w:hAnsi="Calibri" w:cs="Calibri"/>
        </w:rPr>
        <w:t xml:space="preserve"> διαφημιστικά φυλλάδια.</w:t>
      </w:r>
    </w:p>
    <w:p w14:paraId="5A25A149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Διαστάσεις: </w:t>
      </w:r>
    </w:p>
    <w:p w14:paraId="70A95FEF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α. 10,2 x 10,2 εκατοστά σε συσκευασία 10 </w:t>
      </w:r>
      <w:proofErr w:type="spellStart"/>
      <w:r w:rsidRPr="00B96A63">
        <w:rPr>
          <w:rFonts w:ascii="Calibri" w:hAnsi="Calibri" w:cs="Calibri"/>
        </w:rPr>
        <w:t>τμχ</w:t>
      </w:r>
      <w:proofErr w:type="spellEnd"/>
    </w:p>
    <w:p w14:paraId="2CD23BAD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β. 5,1 x 10,2 εκατοστά σε συσκευασία 10 </w:t>
      </w:r>
      <w:proofErr w:type="spellStart"/>
      <w:r w:rsidRPr="00B96A63">
        <w:rPr>
          <w:rFonts w:ascii="Calibri" w:hAnsi="Calibri" w:cs="Calibri"/>
        </w:rPr>
        <w:t>τμχ</w:t>
      </w:r>
      <w:proofErr w:type="spellEnd"/>
    </w:p>
    <w:p w14:paraId="18482C66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γ. 2,5 x 5,1 εκατοστά σε συσκευασία 10 </w:t>
      </w:r>
      <w:proofErr w:type="spellStart"/>
      <w:r w:rsidRPr="00B96A63">
        <w:rPr>
          <w:rFonts w:ascii="Calibri" w:hAnsi="Calibri" w:cs="Calibri"/>
        </w:rPr>
        <w:t>τμχ</w:t>
      </w:r>
      <w:proofErr w:type="spellEnd"/>
    </w:p>
    <w:p w14:paraId="4A5E599E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>1Γ. Μη υφασμένη αιμοστατική γάζα από 100% Οξειδωμένη Αναγεννημένη Κυτταρίνη σε συσκευασία αλουμινίου για προστασία από περιβαλλοντικούς παράγοντες (υγρασία, σκόνη και άλλους), διαχωρίσιμη τουλάχιστον σε 7 στρώματα για τις διαστάσεις 10,2εκ. x 10,2εκ. &amp; 5,1εκ. x 10,2εκ. και τουλάχιστον 11 για τη μικρότερη διάσταση 2,5εκ. x 5,1εκ.</w:t>
      </w:r>
    </w:p>
    <w:p w14:paraId="20A0EEE6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Να έχει την ευρύτερη βακτηριοκτόνο δράση συμπεριλαμβανομένων των MRSA, PRSP, VRE, MRSE, E. </w:t>
      </w:r>
      <w:proofErr w:type="spellStart"/>
      <w:r w:rsidRPr="00B96A63">
        <w:rPr>
          <w:rFonts w:ascii="Calibri" w:hAnsi="Calibri" w:cs="Calibri"/>
        </w:rPr>
        <w:t>Coli</w:t>
      </w:r>
      <w:proofErr w:type="spellEnd"/>
      <w:r w:rsidRPr="00B96A63">
        <w:rPr>
          <w:rFonts w:ascii="Calibri" w:hAnsi="Calibri" w:cs="Calibri"/>
        </w:rPr>
        <w:t xml:space="preserve">, K. </w:t>
      </w:r>
      <w:proofErr w:type="spellStart"/>
      <w:r w:rsidRPr="00B96A63">
        <w:rPr>
          <w:rFonts w:ascii="Calibri" w:hAnsi="Calibri" w:cs="Calibri"/>
        </w:rPr>
        <w:t>Aeoregenes</w:t>
      </w:r>
      <w:proofErr w:type="spellEnd"/>
      <w:r w:rsidRPr="00B96A63">
        <w:rPr>
          <w:rFonts w:ascii="Calibri" w:hAnsi="Calibri" w:cs="Calibri"/>
        </w:rPr>
        <w:t xml:space="preserve">, </w:t>
      </w:r>
      <w:proofErr w:type="spellStart"/>
      <w:r w:rsidRPr="00B96A63">
        <w:rPr>
          <w:rFonts w:ascii="Calibri" w:hAnsi="Calibri" w:cs="Calibri"/>
        </w:rPr>
        <w:t>S.aureus</w:t>
      </w:r>
      <w:proofErr w:type="spellEnd"/>
      <w:r w:rsidRPr="00B96A63">
        <w:rPr>
          <w:rFonts w:ascii="Calibri" w:hAnsi="Calibri" w:cs="Calibri"/>
        </w:rPr>
        <w:t xml:space="preserve">, </w:t>
      </w:r>
      <w:proofErr w:type="spellStart"/>
      <w:r w:rsidRPr="00B96A63">
        <w:rPr>
          <w:rFonts w:ascii="Calibri" w:hAnsi="Calibri" w:cs="Calibri"/>
        </w:rPr>
        <w:t>S.Epidermidis</w:t>
      </w:r>
      <w:proofErr w:type="spellEnd"/>
      <w:r w:rsidRPr="00B96A63">
        <w:rPr>
          <w:rFonts w:ascii="Calibri" w:hAnsi="Calibri" w:cs="Calibri"/>
        </w:rPr>
        <w:t xml:space="preserve">, η οποία να </w:t>
      </w:r>
      <w:proofErr w:type="spellStart"/>
      <w:r w:rsidRPr="00B96A63">
        <w:rPr>
          <w:rFonts w:ascii="Calibri" w:hAnsi="Calibri" w:cs="Calibri"/>
        </w:rPr>
        <w:t>ποσοτικοποιείται</w:t>
      </w:r>
      <w:proofErr w:type="spellEnd"/>
      <w:r w:rsidRPr="00B96A63">
        <w:rPr>
          <w:rFonts w:ascii="Calibri" w:hAnsi="Calibri" w:cs="Calibri"/>
        </w:rPr>
        <w:t xml:space="preserve"> για τους σημαντικότερους. </w:t>
      </w:r>
    </w:p>
    <w:p w14:paraId="58F9A1A1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Να </w:t>
      </w:r>
      <w:proofErr w:type="spellStart"/>
      <w:r w:rsidRPr="00B96A63">
        <w:rPr>
          <w:rFonts w:ascii="Calibri" w:hAnsi="Calibri" w:cs="Calibri"/>
        </w:rPr>
        <w:t>απορροφάται</w:t>
      </w:r>
      <w:proofErr w:type="spellEnd"/>
      <w:r w:rsidRPr="00B96A63">
        <w:rPr>
          <w:rFonts w:ascii="Calibri" w:hAnsi="Calibri" w:cs="Calibri"/>
        </w:rPr>
        <w:t xml:space="preserve"> εντός 1-2 εβδομάδων με μηδενική </w:t>
      </w:r>
      <w:proofErr w:type="spellStart"/>
      <w:r w:rsidRPr="00B96A63">
        <w:rPr>
          <w:rFonts w:ascii="Calibri" w:hAnsi="Calibri" w:cs="Calibri"/>
        </w:rPr>
        <w:t>ιστική</w:t>
      </w:r>
      <w:proofErr w:type="spellEnd"/>
      <w:r w:rsidRPr="00B96A63">
        <w:rPr>
          <w:rFonts w:ascii="Calibri" w:hAnsi="Calibri" w:cs="Calibri"/>
        </w:rPr>
        <w:t xml:space="preserve"> αντίδραση και ο χρόνος αιμοστάσεως να είναι κάτω των 6 λεπτών.</w:t>
      </w:r>
    </w:p>
    <w:p w14:paraId="7BBA808A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Όλα τα ανωτέρω να αποδεικνύονται σύμφωνα με το εγχειρίδιο χρήσεως, ή δημοσιευμένες μελέτες, ή άλλους τεχνικούς φακέλους και όχι </w:t>
      </w:r>
      <w:proofErr w:type="spellStart"/>
      <w:r w:rsidRPr="00B96A63">
        <w:rPr>
          <w:rFonts w:ascii="Calibri" w:hAnsi="Calibri" w:cs="Calibri"/>
        </w:rPr>
        <w:t>προϊοντικά</w:t>
      </w:r>
      <w:proofErr w:type="spellEnd"/>
      <w:r w:rsidRPr="00B96A63">
        <w:rPr>
          <w:rFonts w:ascii="Calibri" w:hAnsi="Calibri" w:cs="Calibri"/>
        </w:rPr>
        <w:t xml:space="preserve"> διαφημιστικά φυλλάδια.</w:t>
      </w:r>
    </w:p>
    <w:p w14:paraId="3CE23348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Διαστάσεις: </w:t>
      </w:r>
    </w:p>
    <w:p w14:paraId="4CD62274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α. 10,2 x 10,2 εκατοστά σε συσκευασία 10 </w:t>
      </w:r>
      <w:proofErr w:type="spellStart"/>
      <w:r w:rsidRPr="00B96A63">
        <w:rPr>
          <w:rFonts w:ascii="Calibri" w:hAnsi="Calibri" w:cs="Calibri"/>
        </w:rPr>
        <w:t>τμχ</w:t>
      </w:r>
      <w:proofErr w:type="spellEnd"/>
    </w:p>
    <w:p w14:paraId="4DF4990D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β. 5,1 x 10,2 εκατοστά σε συσκευασία 10 </w:t>
      </w:r>
      <w:proofErr w:type="spellStart"/>
      <w:r w:rsidRPr="00B96A63">
        <w:rPr>
          <w:rFonts w:ascii="Calibri" w:hAnsi="Calibri" w:cs="Calibri"/>
        </w:rPr>
        <w:t>τμχ</w:t>
      </w:r>
      <w:proofErr w:type="spellEnd"/>
    </w:p>
    <w:p w14:paraId="3BA06A8E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 xml:space="preserve">γ. 2,5 x 5,1 εκατοστά σε συσκευασία 10 </w:t>
      </w:r>
      <w:proofErr w:type="spellStart"/>
      <w:r w:rsidRPr="00B96A63">
        <w:rPr>
          <w:rFonts w:ascii="Calibri" w:hAnsi="Calibri" w:cs="Calibri"/>
        </w:rPr>
        <w:t>τμχ</w:t>
      </w:r>
      <w:proofErr w:type="spellEnd"/>
    </w:p>
    <w:p w14:paraId="14249378" w14:textId="77777777" w:rsidR="00E9349F" w:rsidRPr="00B96A63" w:rsidRDefault="00E9349F" w:rsidP="00E9349F">
      <w:pPr>
        <w:rPr>
          <w:rFonts w:ascii="Calibri" w:hAnsi="Calibri" w:cs="Calibri"/>
        </w:rPr>
      </w:pPr>
    </w:p>
    <w:p w14:paraId="5A3A19D1" w14:textId="77777777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>Στη διάθεσή σας για οποιαδήποτε συμπληρωματική πληροφορία ή διευκρίνηση.</w:t>
      </w:r>
    </w:p>
    <w:p w14:paraId="01FD3BC0" w14:textId="77777777" w:rsidR="00E9349F" w:rsidRPr="00B96A63" w:rsidRDefault="00E9349F" w:rsidP="00E9349F">
      <w:pPr>
        <w:rPr>
          <w:rFonts w:ascii="Calibri" w:hAnsi="Calibri" w:cs="Calibri"/>
        </w:rPr>
      </w:pPr>
    </w:p>
    <w:p w14:paraId="6AE9D98A" w14:textId="77777777" w:rsidR="00E9349F" w:rsidRPr="00B96A63" w:rsidRDefault="00E9349F" w:rsidP="00E9349F">
      <w:pPr>
        <w:rPr>
          <w:rFonts w:ascii="Calibri" w:hAnsi="Calibri" w:cs="Calibri"/>
          <w:lang w:val="en-US"/>
        </w:rPr>
      </w:pPr>
      <w:r w:rsidRPr="00B96A63">
        <w:rPr>
          <w:rFonts w:ascii="Calibri" w:hAnsi="Calibri" w:cs="Calibri"/>
        </w:rPr>
        <w:t>Με</w:t>
      </w:r>
      <w:r w:rsidRPr="00B96A63">
        <w:rPr>
          <w:rFonts w:ascii="Calibri" w:hAnsi="Calibri" w:cs="Calibri"/>
          <w:lang w:val="en-US"/>
        </w:rPr>
        <w:t xml:space="preserve"> </w:t>
      </w:r>
      <w:r w:rsidRPr="00B96A63">
        <w:rPr>
          <w:rFonts w:ascii="Calibri" w:hAnsi="Calibri" w:cs="Calibri"/>
        </w:rPr>
        <w:t>εκτίμηση</w:t>
      </w:r>
      <w:r w:rsidRPr="00B96A63">
        <w:rPr>
          <w:rFonts w:ascii="Calibri" w:hAnsi="Calibri" w:cs="Calibri"/>
          <w:lang w:val="en-US"/>
        </w:rPr>
        <w:t>,</w:t>
      </w:r>
    </w:p>
    <w:p w14:paraId="284B6418" w14:textId="77777777" w:rsidR="00E9349F" w:rsidRPr="00B96A63" w:rsidRDefault="00E9349F" w:rsidP="00E9349F">
      <w:pPr>
        <w:rPr>
          <w:rFonts w:ascii="Calibri" w:hAnsi="Calibri" w:cs="Calibri"/>
          <w:lang w:val="en-US"/>
        </w:rPr>
      </w:pPr>
      <w:r w:rsidRPr="00B96A63">
        <w:rPr>
          <w:rFonts w:ascii="Calibri" w:hAnsi="Calibri" w:cs="Calibri"/>
          <w:lang w:val="en-US"/>
        </w:rPr>
        <w:t>JOHNSON &amp; JOHNSON MEDTECH GREECE</w:t>
      </w:r>
    </w:p>
    <w:p w14:paraId="330CA37E" w14:textId="3963CF7E" w:rsidR="00E9349F" w:rsidRPr="00B96A63" w:rsidRDefault="00E9349F" w:rsidP="00E9349F">
      <w:pPr>
        <w:rPr>
          <w:rFonts w:ascii="Calibri" w:hAnsi="Calibri" w:cs="Calibri"/>
        </w:rPr>
      </w:pPr>
      <w:r w:rsidRPr="00B96A63">
        <w:rPr>
          <w:rFonts w:ascii="Calibri" w:hAnsi="Calibri" w:cs="Calibri"/>
        </w:rPr>
        <w:t>Τμήμα Διαγωνισμών &amp; Συμβάσεων</w:t>
      </w:r>
    </w:p>
    <w:sectPr w:rsidR="00E9349F" w:rsidRPr="00B96A63" w:rsidSect="00E934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9F"/>
    <w:rsid w:val="00850094"/>
    <w:rsid w:val="00B96A63"/>
    <w:rsid w:val="00CB213C"/>
    <w:rsid w:val="00E9349F"/>
    <w:rsid w:val="00F6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A026"/>
  <w15:chartTrackingRefBased/>
  <w15:docId w15:val="{3056ABF4-3AE2-4F22-BC13-F87453AB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93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3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3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3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3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34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34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34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34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3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93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93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9349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9349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9349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9349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9349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93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93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93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34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93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34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9349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9349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349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3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9349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9349F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9349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3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9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gr@its.jnj.com" TargetMode="External"/><Relationship Id="rId5" Type="http://schemas.openxmlformats.org/officeDocument/2006/relationships/hyperlink" Target="https://www.moh.gov.gr/articles/ethnikh-kentrikh-arxh-promhtheiwn-ygeias-ekapy/texnikes-prodiagrafes-kai-protypa/texnikes-prodiagrafes-ekapy/9180-iatrikh-gaza" TargetMode="External"/><Relationship Id="rId4" Type="http://schemas.openxmlformats.org/officeDocument/2006/relationships/hyperlink" Target="mailto:m.markatou@bbdmedica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775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ΒΛΑΧΟΥ</dc:creator>
  <cp:keywords/>
  <dc:description/>
  <cp:lastModifiedBy>ΕΥΗ ΒΛΑΧΟΥ</cp:lastModifiedBy>
  <cp:revision>2</cp:revision>
  <cp:lastPrinted>2024-04-26T04:24:00Z</cp:lastPrinted>
  <dcterms:created xsi:type="dcterms:W3CDTF">2024-04-26T04:18:00Z</dcterms:created>
  <dcterms:modified xsi:type="dcterms:W3CDTF">2024-04-26T04:46:00Z</dcterms:modified>
</cp:coreProperties>
</file>