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2533"/>
        <w:gridCol w:w="1615"/>
        <w:gridCol w:w="2033"/>
      </w:tblGrid>
      <w:tr w:rsidR="00A80A05" w:rsidRPr="00A80A05" w14:paraId="095A0781" w14:textId="77777777" w:rsidTr="00A80A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C8C3F4" w14:textId="77777777" w:rsidR="00A80A05" w:rsidRPr="00A80A05" w:rsidRDefault="00A80A05" w:rsidP="00A80A0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Όνομα </w:t>
            </w:r>
            <w:r w:rsidRPr="00A80A05">
              <w:rPr>
                <w:rFonts w:ascii="Tahoma" w:eastAsia="Times New Roman" w:hAnsi="Tahoma" w:cs="Tahoma"/>
                <w:b/>
                <w:bCs/>
                <w:color w:val="636363"/>
                <w:kern w:val="0"/>
                <w:sz w:val="21"/>
                <w:szCs w:val="21"/>
                <w:lang w:eastAsia="el-GR"/>
                <w14:ligatures w14:val="none"/>
              </w:rPr>
              <w:t>ΝΟΣΟΚΟΜΕΙΑΚΗ ΓΡΑΜΗ ΑΕ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22E72" w14:textId="77777777" w:rsidR="00A80A05" w:rsidRPr="00A80A05" w:rsidRDefault="00A80A05" w:rsidP="00A80A0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Email </w:t>
            </w:r>
            <w:r w:rsidRPr="00A80A05">
              <w:rPr>
                <w:rFonts w:ascii="Tahoma" w:eastAsia="Times New Roman" w:hAnsi="Tahoma" w:cs="Tahoma"/>
                <w:b/>
                <w:bCs/>
                <w:color w:val="636363"/>
                <w:kern w:val="0"/>
                <w:sz w:val="21"/>
                <w:szCs w:val="21"/>
                <w:lang w:eastAsia="el-GR"/>
                <w14:ligatures w14:val="none"/>
              </w:rPr>
              <w:t>a.skiani@hospital-line.gr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CBE35" w14:textId="77777777" w:rsidR="00A80A05" w:rsidRPr="00A80A05" w:rsidRDefault="00A80A05" w:rsidP="00A80A0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Άρθρο </w:t>
            </w:r>
            <w:r w:rsidRPr="00A80A05">
              <w:rPr>
                <w:rFonts w:ascii="Tahoma" w:eastAsia="Times New Roman" w:hAnsi="Tahoma" w:cs="Tahoma"/>
                <w:b/>
                <w:bCs/>
                <w:color w:val="636363"/>
                <w:kern w:val="0"/>
                <w:sz w:val="21"/>
                <w:szCs w:val="21"/>
                <w:lang w:eastAsia="el-GR"/>
                <w14:ligatures w14:val="none"/>
              </w:rPr>
              <w:t>σχόλια 2ης διαβούλευσης αναλώσιμων ειδών ενδοσκοπίου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9B539" w14:textId="77777777" w:rsidR="00A80A05" w:rsidRPr="00A80A05" w:rsidRDefault="00A80A05" w:rsidP="00A80A0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Ημ</w:t>
            </w:r>
            <w:proofErr w:type="spellEnd"/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/</w:t>
            </w:r>
            <w:proofErr w:type="spellStart"/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νία</w:t>
            </w:r>
            <w:proofErr w:type="spellEnd"/>
            <w:r w:rsidRPr="00A80A05">
              <w:rPr>
                <w:rFonts w:ascii="Tahoma" w:eastAsia="Times New Roman" w:hAnsi="Tahoma" w:cs="Tahoma"/>
                <w:b/>
                <w:bCs/>
                <w:color w:val="909090"/>
                <w:kern w:val="0"/>
                <w:sz w:val="17"/>
                <w:szCs w:val="17"/>
                <w:lang w:eastAsia="el-GR"/>
                <w14:ligatures w14:val="none"/>
              </w:rPr>
              <w:t> </w:t>
            </w:r>
            <w:r w:rsidRPr="00A80A05">
              <w:rPr>
                <w:rFonts w:ascii="Tahoma" w:eastAsia="Times New Roman" w:hAnsi="Tahoma" w:cs="Tahoma"/>
                <w:b/>
                <w:bCs/>
                <w:color w:val="636363"/>
                <w:kern w:val="0"/>
                <w:sz w:val="21"/>
                <w:szCs w:val="21"/>
                <w:lang w:eastAsia="el-GR"/>
                <w14:ligatures w14:val="none"/>
              </w:rPr>
              <w:t>10/04/2023</w:t>
            </w:r>
          </w:p>
        </w:tc>
      </w:tr>
    </w:tbl>
    <w:p w14:paraId="1A5D74FC" w14:textId="77777777" w:rsidR="00A80A05" w:rsidRDefault="00A80A05">
      <w:pPr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</w:pPr>
    </w:p>
    <w:p w14:paraId="37928C8B" w14:textId="77777777" w:rsidR="00A80A05" w:rsidRDefault="00A80A05">
      <w:pPr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</w:pPr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Προς: ΓΕΝΙΚΟ ΟΓΚΟΛΟΓΙΚΟ ΝΟΣΟΚΟΜΕΙΟ ΚΗΦΙΣΙΑΣ «ΟΙ ΑΓΙΟΙ ΑΝΑΡΓΥΡΟΙ» </w:t>
      </w:r>
    </w:p>
    <w:p w14:paraId="3BF229CC" w14:textId="77777777" w:rsidR="00A80A05" w:rsidRDefault="00A80A05">
      <w:pPr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</w:pPr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Αθήνα, 10/04/2023 Γραφείο Προμηθειών </w:t>
      </w:r>
    </w:p>
    <w:p w14:paraId="5A5D61AD" w14:textId="77777777" w:rsidR="00A80A05" w:rsidRDefault="00A80A05">
      <w:pPr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</w:pPr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Υπ’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όψιν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κας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Εύης Βλάχου </w:t>
      </w:r>
    </w:p>
    <w:p w14:paraId="7CC30647" w14:textId="77777777" w:rsidR="00A80A05" w:rsidRDefault="00A80A05">
      <w:pPr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</w:pPr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Θέμα: 2η δημόσια διαβούλευση τεχνικών προδιαγραφών για την προμήθεια «Αναλώσιμων Ειδών Ενδοσκοπίου» Κύριοι, Λάβαμε γνώση της πρόσκλησης για τη δημόσια διαβούλευση τεχνικών προδιαγραφών για την προμήθεια «Αναλώσιμων Ειδών Ενδοσκοπίου». </w:t>
      </w:r>
    </w:p>
    <w:p w14:paraId="30A29E5C" w14:textId="4B790509" w:rsidR="00B905FE" w:rsidRDefault="00A80A05"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Προκειμένου το Νοσοκομείο σας να παρέχει στους ασθενείς του τις πλέον σύγχρονες ιατρικές υπηρεσίες, πιστεύουμε ότι θα πρέπει στα ζητούμενα είδη να συμπεριληφθούν και οι παρακάτω προδιαγραφές: ‘Βρόγχοι μονοπολικοί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πολυπεκτομής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μιας χρήσης, πλεκτού σύρματος με ειδικό σχεδιασμό αντίστασης στην παραμόρφωση, λόγω γωνίας. Διαμορφώσεις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oval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1,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oval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2,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crab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&amp;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crescent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. Να διατίθενται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προσυναρμολογημένοι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περιστρεφόμενοι με καθετήρα μήκους 240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cm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, κατάλληλοι για χρήση από κανάλι εργασίας 2,8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mm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ή μικρότερο. Να διαθέτουν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stiff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σύρμα κοπής με διάμετρο 0,4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mm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1x7. Τα μεγέθη 6mm-15mm να δύναται να χρησιμοποιηθούν και για τεχνική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cold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snare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βάσει των οδηγιών του κατασκευαστή. Λαβή 3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ring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μικρού μήκους για τον εύκολο χειρισμό με διαγραμμίσεις ένδειξης βάθους ανά μισό και ένα εκατοστό και επιπλέον κανάλι έγχυσης. Κατάλληλοι για εφαρμογή σε κάλυμμα άκρου ενδοσκοπίου για ενδοσκοπική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βλεννογονεκτομή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(EMR).’ Τα ανωτέρω είδη θα βοηθήσουν το Νοσοκομείο, διότι δίνουν δυνατότητα για τεχνική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πολυπεκτομής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cold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–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hot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με χρήση ΕΝΟΣ υλικού, το οποίο προσφέρει οικονομία στο Νοσοκομείο και δίνουν τη δυνατότητα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έκπλυσης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, χαρακτηριστικό μοναδικό. Παρατηρητήριο: Θέση: 55.5.66 Τιμή: 36,00 € Με εκτίμηση Ηλίας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Σιμωτάς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Division</w:t>
      </w:r>
      <w:proofErr w:type="spellEnd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 xml:space="preserve"> </w:t>
      </w:r>
      <w:proofErr w:type="spellStart"/>
      <w:r w:rsidRPr="00A80A05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Manager</w:t>
      </w:r>
      <w:proofErr w:type="spellEnd"/>
    </w:p>
    <w:sectPr w:rsidR="00B905FE" w:rsidSect="00ED523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9B"/>
    <w:rsid w:val="00A1049B"/>
    <w:rsid w:val="00A80A05"/>
    <w:rsid w:val="00AC694F"/>
    <w:rsid w:val="00B905FE"/>
    <w:rsid w:val="00E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EF07"/>
  <w15:chartTrackingRefBased/>
  <w15:docId w15:val="{F48CD436-AFE1-40DC-95C7-AFDF47F4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putextstyle">
    <w:name w:val="outputext_style"/>
    <w:basedOn w:val="a0"/>
    <w:rsid w:val="00A8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ΒΛΑΧΟΥ</dc:creator>
  <cp:keywords/>
  <dc:description/>
  <cp:lastModifiedBy>ΕΥΗ ΒΛΑΧΟΥ</cp:lastModifiedBy>
  <cp:revision>3</cp:revision>
  <dcterms:created xsi:type="dcterms:W3CDTF">2023-04-12T11:47:00Z</dcterms:created>
  <dcterms:modified xsi:type="dcterms:W3CDTF">2023-04-12T11:47:00Z</dcterms:modified>
</cp:coreProperties>
</file>